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75" w:type="dxa"/>
        <w:tblLook w:val="04A0" w:firstRow="1" w:lastRow="0" w:firstColumn="1" w:lastColumn="0" w:noHBand="0" w:noVBand="1"/>
      </w:tblPr>
      <w:tblGrid>
        <w:gridCol w:w="10075"/>
      </w:tblGrid>
      <w:tr w:rsidR="009C6CCD" w14:paraId="1EA5D744" w14:textId="77777777" w:rsidTr="00BC5CB4">
        <w:tc>
          <w:tcPr>
            <w:tcW w:w="10075" w:type="dxa"/>
            <w:shd w:val="clear" w:color="auto" w:fill="ACB9CA" w:themeFill="text2" w:themeFillTint="66"/>
          </w:tcPr>
          <w:p w14:paraId="4C561D10" w14:textId="54EE73B3" w:rsidR="009C6CCD" w:rsidRPr="009C6CCD" w:rsidRDefault="009C6CCD" w:rsidP="009C6CCD">
            <w:pPr>
              <w:jc w:val="both"/>
              <w:rPr>
                <w:b/>
                <w:bCs/>
              </w:rPr>
            </w:pPr>
            <w:r w:rsidRPr="009C6CCD">
              <w:rPr>
                <w:b/>
                <w:bCs/>
              </w:rPr>
              <w:t>Introduction</w:t>
            </w:r>
          </w:p>
        </w:tc>
      </w:tr>
      <w:tr w:rsidR="009C6CCD" w14:paraId="425E0BAD" w14:textId="77777777" w:rsidTr="00BC5CB4">
        <w:tc>
          <w:tcPr>
            <w:tcW w:w="10075" w:type="dxa"/>
          </w:tcPr>
          <w:p w14:paraId="5B40071F" w14:textId="128563B5" w:rsidR="009C6CCD" w:rsidRPr="002A151C" w:rsidRDefault="00412330" w:rsidP="009C6CCD">
            <w:pPr>
              <w:jc w:val="both"/>
              <w:rPr>
                <w:sz w:val="21"/>
                <w:szCs w:val="21"/>
              </w:rPr>
            </w:pPr>
            <w:r>
              <w:rPr>
                <w:noProof/>
              </w:rPr>
              <mc:AlternateContent>
                <mc:Choice Requires="wps">
                  <w:drawing>
                    <wp:anchor distT="0" distB="0" distL="114300" distR="114300" simplePos="0" relativeHeight="251659264" behindDoc="0" locked="0" layoutInCell="1" allowOverlap="1" wp14:anchorId="60D2D380" wp14:editId="73AAB37A">
                      <wp:simplePos x="0" y="0"/>
                      <wp:positionH relativeFrom="column">
                        <wp:posOffset>3676650</wp:posOffset>
                      </wp:positionH>
                      <wp:positionV relativeFrom="paragraph">
                        <wp:posOffset>803910</wp:posOffset>
                      </wp:positionV>
                      <wp:extent cx="1828800" cy="1828800"/>
                      <wp:effectExtent l="0" t="0" r="0" b="8255"/>
                      <wp:wrapNone/>
                      <wp:docPr id="136419479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19535" w14:textId="752EC604" w:rsidR="00412330" w:rsidRDefault="00412330" w:rsidP="00412330">
                                  <w:pPr>
                                    <w:spacing w:after="120" w:line="240" w:lineRule="auto"/>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0A45E6" w14:textId="77777777" w:rsidR="00D76116" w:rsidRPr="00412330" w:rsidRDefault="00D76116" w:rsidP="00412330">
                                  <w:pPr>
                                    <w:spacing w:after="120" w:line="240" w:lineRule="auto"/>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D2D380" id="_x0000_t202" coordsize="21600,21600" o:spt="202" path="m,l,21600r21600,l21600,xe">
                      <v:stroke joinstyle="miter"/>
                      <v:path gradientshapeok="t" o:connecttype="rect"/>
                    </v:shapetype>
                    <v:shape id="Text Box 1" o:spid="_x0000_s1026" type="#_x0000_t202" style="position:absolute;left:0;text-align:left;margin-left:289.5pt;margin-top:63.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" filled="f" stroked="f">
                      <v:textbox style="mso-fit-shape-to-text:t">
                        <w:txbxContent>
                          <w:p w14:paraId="32E19535" w14:textId="752EC604" w:rsidR="00412330" w:rsidRDefault="00412330" w:rsidP="00412330">
                            <w:pPr>
                              <w:spacing w:after="120" w:line="240" w:lineRule="auto"/>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0A45E6" w14:textId="77777777" w:rsidR="00D76116" w:rsidRPr="00412330" w:rsidRDefault="00D76116" w:rsidP="00412330">
                            <w:pPr>
                              <w:spacing w:after="120" w:line="240" w:lineRule="auto"/>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076A10">
              <w:rPr>
                <w:sz w:val="21"/>
                <w:szCs w:val="21"/>
              </w:rPr>
              <w:t>Bucket List Wealth Management, LLC</w:t>
            </w:r>
            <w:r w:rsidR="007E0492" w:rsidRPr="002A151C">
              <w:rPr>
                <w:sz w:val="21"/>
                <w:szCs w:val="21"/>
              </w:rPr>
              <w:t xml:space="preserve"> </w:t>
            </w:r>
            <w:r w:rsidR="009C6CCD" w:rsidRPr="002A151C">
              <w:rPr>
                <w:sz w:val="21"/>
                <w:szCs w:val="21"/>
              </w:rPr>
              <w:t>is registered with the Securities and Exchange Commission as an investment adviser. Brokerage and investment advisory services and fees differ, and it is important for retail investors to understand the differences. Free and simple tools are available to research firms and financial professionals at</w:t>
            </w:r>
            <w:r w:rsidR="00A7742E" w:rsidRPr="002A151C">
              <w:rPr>
                <w:sz w:val="21"/>
                <w:szCs w:val="21"/>
              </w:rPr>
              <w:t xml:space="preserve"> </w:t>
            </w:r>
            <w:r w:rsidR="009C6CCD" w:rsidRPr="002A151C">
              <w:rPr>
                <w:sz w:val="21"/>
                <w:szCs w:val="21"/>
              </w:rPr>
              <w:t>Investor.gov/CRS, which also provides educational materials about broker-dealers, investment advisers, and investing.</w:t>
            </w:r>
          </w:p>
        </w:tc>
      </w:tr>
      <w:tr w:rsidR="00FF7CB5" w14:paraId="28EFF440" w14:textId="77777777" w:rsidTr="00BC5CB4">
        <w:tc>
          <w:tcPr>
            <w:tcW w:w="10075" w:type="dxa"/>
            <w:shd w:val="clear" w:color="auto" w:fill="ACB9CA" w:themeFill="text2" w:themeFillTint="66"/>
          </w:tcPr>
          <w:p w14:paraId="6B25EC87" w14:textId="032DE3B6" w:rsidR="00FF7CB5" w:rsidRPr="00FF7CB5" w:rsidRDefault="00FF7CB5" w:rsidP="009C6CCD">
            <w:pPr>
              <w:jc w:val="both"/>
              <w:rPr>
                <w:b/>
                <w:bCs/>
                <w:highlight w:val="yellow"/>
              </w:rPr>
            </w:pPr>
            <w:r w:rsidRPr="00FF7CB5">
              <w:rPr>
                <w:b/>
                <w:bCs/>
              </w:rPr>
              <w:t>Relationships and Services</w:t>
            </w:r>
          </w:p>
        </w:tc>
      </w:tr>
      <w:tr w:rsidR="00FF7CB5" w14:paraId="1BCA8496" w14:textId="77777777" w:rsidTr="00BC5CB4">
        <w:tc>
          <w:tcPr>
            <w:tcW w:w="10075" w:type="dxa"/>
          </w:tcPr>
          <w:p w14:paraId="1ADC6BEC" w14:textId="7AA78521" w:rsidR="0029118A" w:rsidRPr="0029118A" w:rsidRDefault="0029118A" w:rsidP="009C6CCD">
            <w:pPr>
              <w:jc w:val="both"/>
              <w:rPr>
                <w:b/>
                <w:bCs/>
                <w:i/>
                <w:iCs/>
              </w:rPr>
            </w:pPr>
            <w:r w:rsidRPr="0029118A">
              <w:rPr>
                <w:b/>
                <w:bCs/>
                <w:i/>
                <w:iCs/>
              </w:rPr>
              <w:t>What investment services and advice can you provide me?</w:t>
            </w:r>
          </w:p>
          <w:p w14:paraId="5328BDB1" w14:textId="021E5068" w:rsidR="00E9288C" w:rsidRDefault="00A7742E" w:rsidP="009C6CCD">
            <w:pPr>
              <w:jc w:val="both"/>
            </w:pPr>
            <w:r w:rsidRPr="00A7742E">
              <w:t>We offer investment advisory services to retail investors.</w:t>
            </w:r>
            <w:r>
              <w:t xml:space="preserve"> </w:t>
            </w:r>
          </w:p>
          <w:p w14:paraId="187A02CF" w14:textId="746C73D6" w:rsidR="00D7643F" w:rsidRPr="002143AB" w:rsidRDefault="00E9288C" w:rsidP="00511724">
            <w:pPr>
              <w:jc w:val="both"/>
            </w:pPr>
            <w:r>
              <w:t xml:space="preserve">Our portfolio management service involves </w:t>
            </w:r>
            <w:r w:rsidR="00EC526F">
              <w:t xml:space="preserve">the recommendation and monitoring of Third-Party </w:t>
            </w:r>
            <w:r w:rsidR="00EF63D2">
              <w:t>I</w:t>
            </w:r>
            <w:r w:rsidR="00EC526F">
              <w:t xml:space="preserve">nvestment </w:t>
            </w:r>
            <w:r w:rsidR="00EF63D2">
              <w:t>A</w:t>
            </w:r>
            <w:r w:rsidR="00EC526F">
              <w:t xml:space="preserve">dvisers.  </w:t>
            </w:r>
            <w:r w:rsidR="002366C6">
              <w:t>We enter into a sub-adviser relationship with the Third-Party Adviser</w:t>
            </w:r>
            <w:r w:rsidR="00511724">
              <w:t xml:space="preserve">.  This allows us to access model portfolios, model managers, strategists, third party money managers and trading services through the Third-Party </w:t>
            </w:r>
            <w:r w:rsidR="007956AC">
              <w:t>A</w:t>
            </w:r>
            <w:r w:rsidR="00E169BB">
              <w:t xml:space="preserve">dviser’s managed account program.  The Third-Party Adviser is responsible for portfolio management, best execution, portfolio reporting, trading, trade error resolution and custodian reconciliations.  </w:t>
            </w:r>
            <w:r w:rsidR="00F0037E">
              <w:t>We maintain our relationship with the client</w:t>
            </w:r>
            <w:r w:rsidR="00A02B65">
              <w:t xml:space="preserve"> by monitoring the status of the client’s accounts, making recommendations about the Third-Party Adviser</w:t>
            </w:r>
            <w:r w:rsidR="00EF63D2">
              <w:t xml:space="preserve"> and meeting with the client either in person or by telephone.  We retain discretionary authority to hire and fire </w:t>
            </w:r>
            <w:r w:rsidR="007956AC">
              <w:t xml:space="preserve">third party money managers. </w:t>
            </w:r>
            <w:r w:rsidR="00EF63D2">
              <w:t xml:space="preserve"> </w:t>
            </w:r>
          </w:p>
        </w:tc>
      </w:tr>
      <w:tr w:rsidR="00FF7CB5" w14:paraId="3F8E8171" w14:textId="77777777" w:rsidTr="00BC5CB4">
        <w:tc>
          <w:tcPr>
            <w:tcW w:w="10075" w:type="dxa"/>
          </w:tcPr>
          <w:p w14:paraId="75E0280E" w14:textId="601AAA91" w:rsidR="00FF7CB5" w:rsidRPr="004B4F57" w:rsidRDefault="004B4F57" w:rsidP="009C6CCD">
            <w:pPr>
              <w:jc w:val="both"/>
              <w:rPr>
                <w:b/>
                <w:bCs/>
                <w:i/>
                <w:iCs/>
              </w:rPr>
            </w:pPr>
            <w:r w:rsidRPr="004B4F57">
              <w:rPr>
                <w:b/>
                <w:bCs/>
                <w:i/>
                <w:iCs/>
              </w:rPr>
              <w:t xml:space="preserve">Additional </w:t>
            </w:r>
            <w:r w:rsidR="004A37DE">
              <w:rPr>
                <w:b/>
                <w:bCs/>
                <w:i/>
                <w:iCs/>
              </w:rPr>
              <w:t>I</w:t>
            </w:r>
            <w:r w:rsidRPr="004B4F57">
              <w:rPr>
                <w:b/>
                <w:bCs/>
                <w:i/>
                <w:iCs/>
              </w:rPr>
              <w:t>nformation:</w:t>
            </w:r>
          </w:p>
          <w:p w14:paraId="02422B94" w14:textId="7071641A" w:rsidR="004B4F57" w:rsidRPr="009C6CCD" w:rsidRDefault="00212D03" w:rsidP="009C6CCD">
            <w:pPr>
              <w:jc w:val="both"/>
              <w:rPr>
                <w:highlight w:val="yellow"/>
              </w:rPr>
            </w:pPr>
            <w:r w:rsidRPr="000F00A3">
              <w:t>You can find more detailed information about the services we offer in</w:t>
            </w:r>
            <w:r w:rsidR="005B1D95">
              <w:t xml:space="preserve"> Items 4 and 7 of</w:t>
            </w:r>
            <w:r w:rsidRPr="000F00A3">
              <w:t xml:space="preserve"> our </w:t>
            </w:r>
            <w:r w:rsidR="000F00A3" w:rsidRPr="000F00A3">
              <w:t>Firm Brochure</w:t>
            </w:r>
            <w:r w:rsidR="005B1D95">
              <w:t>.</w:t>
            </w:r>
          </w:p>
        </w:tc>
      </w:tr>
      <w:tr w:rsidR="00FF7CB5" w14:paraId="3A0DB8CF" w14:textId="77777777" w:rsidTr="00BC5CB4">
        <w:tc>
          <w:tcPr>
            <w:tcW w:w="10075" w:type="dxa"/>
          </w:tcPr>
          <w:p w14:paraId="0F306CE0" w14:textId="77777777" w:rsidR="00FF7CB5" w:rsidRPr="0082084B" w:rsidRDefault="004B4F57" w:rsidP="009C6CCD">
            <w:pPr>
              <w:jc w:val="both"/>
              <w:rPr>
                <w:b/>
                <w:bCs/>
                <w:i/>
                <w:iCs/>
                <w:u w:val="single"/>
              </w:rPr>
            </w:pPr>
            <w:r w:rsidRPr="0082084B">
              <w:rPr>
                <w:b/>
                <w:bCs/>
                <w:i/>
                <w:iCs/>
                <w:u w:val="single"/>
              </w:rPr>
              <w:t>Conversation Starters:</w:t>
            </w:r>
          </w:p>
          <w:p w14:paraId="447A8DBC" w14:textId="77777777" w:rsidR="004B4F57" w:rsidRDefault="004B4F57" w:rsidP="009C6CCD">
            <w:pPr>
              <w:pStyle w:val="ListParagraph"/>
              <w:numPr>
                <w:ilvl w:val="0"/>
                <w:numId w:val="2"/>
              </w:numPr>
              <w:ind w:left="330" w:hanging="330"/>
              <w:jc w:val="both"/>
            </w:pPr>
            <w:r>
              <w:t>“Given my financial situation, should I choose an investment advisory service? Why or why not?”</w:t>
            </w:r>
          </w:p>
          <w:p w14:paraId="3FA6B0DF" w14:textId="19EA3299" w:rsidR="004B4F57" w:rsidRDefault="004B4F57" w:rsidP="009C6CCD">
            <w:pPr>
              <w:pStyle w:val="ListParagraph"/>
              <w:numPr>
                <w:ilvl w:val="0"/>
                <w:numId w:val="2"/>
              </w:numPr>
              <w:ind w:left="330" w:hanging="330"/>
              <w:jc w:val="both"/>
            </w:pPr>
            <w:r>
              <w:t>“How will you choose investments to recommend to me?”</w:t>
            </w:r>
          </w:p>
          <w:p w14:paraId="59089A21" w14:textId="6BA8A6BC" w:rsidR="004B4F57" w:rsidRPr="004B4F57" w:rsidRDefault="004B4F57" w:rsidP="009C6CCD">
            <w:pPr>
              <w:pStyle w:val="ListParagraph"/>
              <w:numPr>
                <w:ilvl w:val="0"/>
                <w:numId w:val="2"/>
              </w:numPr>
              <w:ind w:left="330" w:hanging="330"/>
              <w:jc w:val="both"/>
            </w:pPr>
            <w:r>
              <w:t>“What is your relevant experience, including your licenses, education and other qualifications? What do these qualifications mean?”</w:t>
            </w:r>
          </w:p>
        </w:tc>
      </w:tr>
      <w:tr w:rsidR="00FF7CB5" w14:paraId="3D829328" w14:textId="77777777" w:rsidTr="00BC5CB4">
        <w:tc>
          <w:tcPr>
            <w:tcW w:w="10075" w:type="dxa"/>
            <w:shd w:val="clear" w:color="auto" w:fill="ACB9CA" w:themeFill="text2" w:themeFillTint="66"/>
          </w:tcPr>
          <w:p w14:paraId="788265A6" w14:textId="66C336DE" w:rsidR="00FF7CB5" w:rsidRPr="000F00A3" w:rsidRDefault="000F00A3" w:rsidP="009C6CCD">
            <w:pPr>
              <w:jc w:val="both"/>
              <w:rPr>
                <w:b/>
                <w:bCs/>
                <w:highlight w:val="yellow"/>
              </w:rPr>
            </w:pPr>
            <w:r w:rsidRPr="000F00A3">
              <w:rPr>
                <w:b/>
                <w:bCs/>
              </w:rPr>
              <w:t>Fees, Costs, Conflicts, and Standard of Conduct</w:t>
            </w:r>
          </w:p>
        </w:tc>
      </w:tr>
      <w:tr w:rsidR="00FF7CB5" w14:paraId="1AD3BF69" w14:textId="77777777" w:rsidTr="00BC5CB4">
        <w:tc>
          <w:tcPr>
            <w:tcW w:w="10075" w:type="dxa"/>
          </w:tcPr>
          <w:p w14:paraId="780DCFCB" w14:textId="02E9AB2A" w:rsidR="00FF7CB5" w:rsidRDefault="00392A97" w:rsidP="009C6CCD">
            <w:pPr>
              <w:jc w:val="both"/>
              <w:rPr>
                <w:b/>
                <w:bCs/>
                <w:i/>
                <w:iCs/>
              </w:rPr>
            </w:pPr>
            <w:r w:rsidRPr="00392A97">
              <w:rPr>
                <w:b/>
                <w:bCs/>
                <w:i/>
                <w:iCs/>
              </w:rPr>
              <w:t>What fees will I pay?</w:t>
            </w:r>
          </w:p>
          <w:p w14:paraId="5745EB1A" w14:textId="70E4BFE8" w:rsidR="001E6B1D" w:rsidRDefault="00C813B6" w:rsidP="001E6B1D">
            <w:pPr>
              <w:spacing w:after="120"/>
              <w:jc w:val="both"/>
            </w:pPr>
            <w:r>
              <w:t xml:space="preserve">When we recommend third-party investment advisers, we charge an annual management fee based upon a percentage of assets under management. </w:t>
            </w:r>
            <w:r w:rsidR="007956AC">
              <w:t>The maximum annual management fee is 2.00%</w:t>
            </w:r>
            <w:r w:rsidR="00212EF1">
              <w:t>.  The fee is negotiable and will be collected by the Third-Party Adviser on a monthly basis in arrears</w:t>
            </w:r>
            <w:r w:rsidR="00547AAE">
              <w:t xml:space="preserve"> and calculated based on the account value as of the last business day of the month.  You will be asked to authorize the Third-Party Adviser with the ability to instruct the custodian to directly deduct the management fee from your</w:t>
            </w:r>
            <w:r w:rsidR="007F2212">
              <w:t xml:space="preserve"> account.  </w:t>
            </w:r>
          </w:p>
          <w:p w14:paraId="42B9D239" w14:textId="557A084F" w:rsidR="007F2212" w:rsidRDefault="004504A1" w:rsidP="001E6B1D">
            <w:pPr>
              <w:spacing w:after="120"/>
              <w:jc w:val="both"/>
            </w:pPr>
            <w:r>
              <w:t xml:space="preserve">Our management fee includes the Third-Party Adviser’s fee. </w:t>
            </w:r>
          </w:p>
          <w:p w14:paraId="116A9150" w14:textId="7D4C705A" w:rsidR="00C25E27" w:rsidRDefault="00F11239" w:rsidP="001E6B1D">
            <w:pPr>
              <w:spacing w:after="120"/>
              <w:jc w:val="both"/>
            </w:pPr>
            <w:r>
              <w:t xml:space="preserve">In addition to </w:t>
            </w:r>
            <w:r w:rsidR="00F03F6C">
              <w:t xml:space="preserve">and exclusive of </w:t>
            </w:r>
            <w:r>
              <w:t>our fees, there are other fees and costs that you may pay directly or indirectly, including</w:t>
            </w:r>
            <w:r w:rsidR="00F03F6C">
              <w:t xml:space="preserve"> brokerage commissions, transaction fees, and other related costs and expenses</w:t>
            </w:r>
            <w:r>
              <w:t xml:space="preserve">. </w:t>
            </w:r>
          </w:p>
          <w:p w14:paraId="2B5B0DAA" w14:textId="3D8A066B" w:rsidR="002D0FBA" w:rsidRPr="004374CE" w:rsidRDefault="002D0FBA" w:rsidP="002D0FBA">
            <w:pPr>
              <w:jc w:val="both"/>
              <w:rPr>
                <w:b/>
                <w:bCs/>
                <w:i/>
                <w:iCs/>
                <w:u w:val="single"/>
              </w:rPr>
            </w:pPr>
            <w:r w:rsidRPr="004374CE">
              <w:rPr>
                <w:b/>
                <w:bCs/>
                <w:i/>
                <w:iCs/>
                <w:u w:val="single"/>
              </w:rPr>
              <w:t>Additional Information:</w:t>
            </w:r>
          </w:p>
          <w:p w14:paraId="5598C434" w14:textId="21F2D88C" w:rsidR="002D0FBA" w:rsidRDefault="002D0FBA" w:rsidP="00D23038">
            <w:pPr>
              <w:spacing w:after="120"/>
              <w:jc w:val="both"/>
              <w:rPr>
                <w:highlight w:val="yellow"/>
              </w:rPr>
            </w:pPr>
            <w:r>
              <w:t xml:space="preserve">You will pay fees and costs whether you make or lose money on your investments. Fees and costs will reduce any amount of money you make on your investments over time. Please make sure you understand what fees and costs you are paying. You can find more detailed information about our fees and costs in </w:t>
            </w:r>
            <w:r w:rsidR="00F11239">
              <w:t xml:space="preserve">Item 5 of </w:t>
            </w:r>
            <w:r>
              <w:t xml:space="preserve">our Firm </w:t>
            </w:r>
            <w:r w:rsidR="00F11239">
              <w:t xml:space="preserve">Brochure. </w:t>
            </w:r>
          </w:p>
          <w:p w14:paraId="60ABE76A" w14:textId="51DB32F9" w:rsidR="002D0FBA" w:rsidRPr="004374CE" w:rsidRDefault="002D0FBA" w:rsidP="002D0FBA">
            <w:pPr>
              <w:jc w:val="both"/>
              <w:rPr>
                <w:b/>
                <w:bCs/>
                <w:i/>
                <w:iCs/>
                <w:u w:val="single"/>
              </w:rPr>
            </w:pPr>
            <w:r w:rsidRPr="004374CE">
              <w:rPr>
                <w:b/>
                <w:bCs/>
                <w:i/>
                <w:iCs/>
                <w:u w:val="single"/>
              </w:rPr>
              <w:t>Conversation Starter:</w:t>
            </w:r>
          </w:p>
          <w:p w14:paraId="55543721" w14:textId="3DD9B642" w:rsidR="002D0FBA" w:rsidRPr="009C6CCD" w:rsidRDefault="002D0FBA" w:rsidP="002D0FBA">
            <w:pPr>
              <w:jc w:val="both"/>
              <w:rPr>
                <w:highlight w:val="yellow"/>
              </w:rPr>
            </w:pPr>
            <w:r w:rsidRPr="00E90B4E">
              <w:t>“Help me understand how these fees and costs might affect my investments. If I give you $10,000 to invest, how much will go to fees and costs, and how much will be invested for me?”</w:t>
            </w:r>
          </w:p>
        </w:tc>
      </w:tr>
      <w:tr w:rsidR="000F00A3" w14:paraId="79E70A83" w14:textId="77777777" w:rsidTr="00BC5CB4">
        <w:tc>
          <w:tcPr>
            <w:tcW w:w="10075" w:type="dxa"/>
          </w:tcPr>
          <w:p w14:paraId="5DDBDEA9" w14:textId="4897D68A" w:rsidR="004A37DE" w:rsidRDefault="000115BD" w:rsidP="009C6CCD">
            <w:pPr>
              <w:jc w:val="both"/>
              <w:rPr>
                <w:b/>
                <w:bCs/>
                <w:i/>
                <w:iCs/>
              </w:rPr>
            </w:pPr>
            <w:r w:rsidRPr="000115BD">
              <w:rPr>
                <w:b/>
                <w:bCs/>
                <w:i/>
                <w:iCs/>
              </w:rPr>
              <w:t>What are your legal obligations to me when acting as my investment adviser? How else does your firm make money and what conflicts of interest do you have?</w:t>
            </w:r>
          </w:p>
          <w:p w14:paraId="16F0FD29" w14:textId="77777777" w:rsidR="007B165C" w:rsidRDefault="007B165C" w:rsidP="007B165C">
            <w:pPr>
              <w:jc w:val="both"/>
            </w:pPr>
            <w:r w:rsidRPr="007B2E69">
              <w:t>When we act as your investment adviser,</w:t>
            </w:r>
            <w:r>
              <w:t xml:space="preserve"> we have to act in your best interest and not put our interest ahead of yours. At the same time, the way we make money creates some conflicts with your interests. You should understand and ask us about these conflicts because they can affect the investment advice we provide you. Here is an example to help you understand what this means:</w:t>
            </w:r>
          </w:p>
          <w:p w14:paraId="362CC677" w14:textId="5BD0CC5D" w:rsidR="007B165C" w:rsidRDefault="007B165C" w:rsidP="007B165C">
            <w:pPr>
              <w:jc w:val="both"/>
            </w:pPr>
            <w:r>
              <w:lastRenderedPageBreak/>
              <w:t>Some of our associates are independent insurance agents</w:t>
            </w:r>
            <w:r w:rsidR="00A57287">
              <w:t xml:space="preserve">.  </w:t>
            </w:r>
            <w:r>
              <w:t>These associates may recommend insurance products to our clients. This pays them commissions and fees that are separate from our fees and gives them a financial incentive to sell clients insurance products</w:t>
            </w:r>
            <w:r w:rsidR="00A57287">
              <w:t>.</w:t>
            </w:r>
          </w:p>
          <w:p w14:paraId="6EC6A263" w14:textId="444EF68D" w:rsidR="007B165C" w:rsidRPr="003D700B" w:rsidRDefault="007B165C" w:rsidP="007B165C">
            <w:pPr>
              <w:spacing w:after="60"/>
              <w:jc w:val="both"/>
            </w:pPr>
            <w:r>
              <w:t xml:space="preserve">We may recommend that you rollover a retirement account for us to manage, this also creates a financial incentive because we charge a fee for our services.  </w:t>
            </w:r>
          </w:p>
          <w:p w14:paraId="008F00AC" w14:textId="257F67BF" w:rsidR="00B67E09" w:rsidRPr="004374CE" w:rsidRDefault="00B67E09" w:rsidP="00B67E09">
            <w:pPr>
              <w:jc w:val="both"/>
              <w:rPr>
                <w:b/>
                <w:bCs/>
                <w:i/>
                <w:iCs/>
                <w:u w:val="single"/>
              </w:rPr>
            </w:pPr>
            <w:r w:rsidRPr="004374CE">
              <w:rPr>
                <w:b/>
                <w:bCs/>
                <w:i/>
                <w:iCs/>
                <w:u w:val="single"/>
              </w:rPr>
              <w:t>Additional Information:</w:t>
            </w:r>
          </w:p>
          <w:p w14:paraId="36DEECCF" w14:textId="00A504D3" w:rsidR="00B67E09" w:rsidRPr="00B67E09" w:rsidRDefault="00B67E09" w:rsidP="00B67E09">
            <w:pPr>
              <w:jc w:val="both"/>
            </w:pPr>
            <w:r>
              <w:t xml:space="preserve">You can find more detailed information about our conflicts of interest in </w:t>
            </w:r>
            <w:r w:rsidR="008526E7">
              <w:t xml:space="preserve">Items 10 and 14 of </w:t>
            </w:r>
            <w:r>
              <w:t>our Firm Brochure</w:t>
            </w:r>
            <w:r w:rsidR="008526E7">
              <w:t>.</w:t>
            </w:r>
          </w:p>
          <w:p w14:paraId="741A3ABD" w14:textId="77777777" w:rsidR="00B67E09" w:rsidRPr="004374CE" w:rsidRDefault="00B67E09" w:rsidP="00B67E09">
            <w:pPr>
              <w:jc w:val="both"/>
              <w:rPr>
                <w:b/>
                <w:bCs/>
                <w:i/>
                <w:iCs/>
                <w:u w:val="single"/>
              </w:rPr>
            </w:pPr>
            <w:r w:rsidRPr="004374CE">
              <w:rPr>
                <w:b/>
                <w:bCs/>
                <w:i/>
                <w:iCs/>
                <w:u w:val="single"/>
              </w:rPr>
              <w:t>Conversation Starter:</w:t>
            </w:r>
          </w:p>
          <w:p w14:paraId="50B63A4A" w14:textId="5E02D6B8" w:rsidR="00B67E09" w:rsidRPr="00B67E09" w:rsidRDefault="00B67E09" w:rsidP="00B67E09">
            <w:pPr>
              <w:jc w:val="both"/>
              <w:rPr>
                <w:highlight w:val="yellow"/>
              </w:rPr>
            </w:pPr>
            <w:r w:rsidRPr="00B67E09">
              <w:t>“How might your conflicts of interest affect me, and how will you address them?”</w:t>
            </w:r>
          </w:p>
        </w:tc>
      </w:tr>
      <w:tr w:rsidR="000F00A3" w14:paraId="7352260A" w14:textId="77777777" w:rsidTr="00BC5CB4">
        <w:tc>
          <w:tcPr>
            <w:tcW w:w="10075" w:type="dxa"/>
          </w:tcPr>
          <w:p w14:paraId="27592EFD" w14:textId="7EC41D1A" w:rsidR="00E90B4E" w:rsidRDefault="00DD0B6F" w:rsidP="009C6CCD">
            <w:pPr>
              <w:jc w:val="both"/>
              <w:rPr>
                <w:b/>
                <w:bCs/>
                <w:i/>
                <w:iCs/>
              </w:rPr>
            </w:pPr>
            <w:r w:rsidRPr="00DD0B6F">
              <w:rPr>
                <w:b/>
                <w:bCs/>
                <w:i/>
                <w:iCs/>
              </w:rPr>
              <w:lastRenderedPageBreak/>
              <w:t>How do your financial professionals make money?</w:t>
            </w:r>
          </w:p>
          <w:p w14:paraId="0ADA49E9" w14:textId="1B219F4C" w:rsidR="00DD0B6F" w:rsidRPr="00FE4BAF" w:rsidRDefault="00E37317" w:rsidP="009C6CCD">
            <w:pPr>
              <w:jc w:val="both"/>
            </w:pPr>
            <w:r>
              <w:t>Our firm’s financial professionals are compensated on a salaried basis.</w:t>
            </w:r>
          </w:p>
        </w:tc>
      </w:tr>
      <w:tr w:rsidR="00E90B4E" w14:paraId="23E3E905" w14:textId="77777777" w:rsidTr="00BC5CB4">
        <w:tc>
          <w:tcPr>
            <w:tcW w:w="10075" w:type="dxa"/>
            <w:shd w:val="clear" w:color="auto" w:fill="ACB9CA" w:themeFill="text2" w:themeFillTint="66"/>
          </w:tcPr>
          <w:p w14:paraId="55C5E4B5" w14:textId="591FC450" w:rsidR="00E90B4E" w:rsidRPr="006E3881" w:rsidRDefault="006E3881" w:rsidP="009C6CCD">
            <w:pPr>
              <w:jc w:val="both"/>
              <w:rPr>
                <w:b/>
                <w:bCs/>
              </w:rPr>
            </w:pPr>
            <w:r w:rsidRPr="006E3881">
              <w:rPr>
                <w:b/>
                <w:bCs/>
              </w:rPr>
              <w:t>Disciplinary History</w:t>
            </w:r>
          </w:p>
        </w:tc>
      </w:tr>
      <w:tr w:rsidR="00E90B4E" w14:paraId="4DA1A9DB" w14:textId="77777777" w:rsidTr="00BC5CB4">
        <w:tc>
          <w:tcPr>
            <w:tcW w:w="10075" w:type="dxa"/>
          </w:tcPr>
          <w:p w14:paraId="5CD65077" w14:textId="723B942F" w:rsidR="006E3881" w:rsidRDefault="006E3881" w:rsidP="006E3881">
            <w:pPr>
              <w:jc w:val="both"/>
            </w:pPr>
            <w:r>
              <w:rPr>
                <w:b/>
                <w:bCs/>
                <w:i/>
                <w:iCs/>
              </w:rPr>
              <w:t>Do you or your financial professionals have legal or disciplinary history?</w:t>
            </w:r>
            <w:r w:rsidR="009B505C">
              <w:rPr>
                <w:b/>
                <w:bCs/>
                <w:i/>
                <w:iCs/>
              </w:rPr>
              <w:t xml:space="preserve"> </w:t>
            </w:r>
            <w:r w:rsidR="00D76116">
              <w:rPr>
                <w:b/>
                <w:bCs/>
                <w:i/>
                <w:iCs/>
              </w:rPr>
              <w:t>–</w:t>
            </w:r>
            <w:r w:rsidR="009B505C">
              <w:rPr>
                <w:b/>
                <w:bCs/>
                <w:i/>
                <w:iCs/>
              </w:rPr>
              <w:t xml:space="preserve"> </w:t>
            </w:r>
            <w:r w:rsidR="009B505C" w:rsidRPr="005517A0">
              <w:t>No</w:t>
            </w:r>
          </w:p>
          <w:p w14:paraId="2FDFC66D" w14:textId="006C9B92" w:rsidR="00107504" w:rsidRPr="004374CE" w:rsidRDefault="00107504" w:rsidP="006E3881">
            <w:pPr>
              <w:jc w:val="both"/>
              <w:rPr>
                <w:b/>
                <w:bCs/>
                <w:i/>
                <w:iCs/>
                <w:u w:val="single"/>
              </w:rPr>
            </w:pPr>
            <w:r w:rsidRPr="004374CE">
              <w:rPr>
                <w:b/>
                <w:bCs/>
                <w:i/>
                <w:iCs/>
                <w:u w:val="single"/>
              </w:rPr>
              <w:t>Additional Information:</w:t>
            </w:r>
          </w:p>
          <w:p w14:paraId="6198E0D1" w14:textId="125BF9E2" w:rsidR="00107504" w:rsidRDefault="00107504" w:rsidP="006E3881">
            <w:pPr>
              <w:jc w:val="both"/>
            </w:pPr>
            <w:r>
              <w:t xml:space="preserve">Visit Investor.gov/CRS for a free and simple search tool to research </w:t>
            </w:r>
            <w:r w:rsidR="00302653">
              <w:t>us and our</w:t>
            </w:r>
            <w:r>
              <w:t xml:space="preserve"> financial professionals.</w:t>
            </w:r>
          </w:p>
          <w:p w14:paraId="54C0BBE9" w14:textId="77777777" w:rsidR="00107504" w:rsidRPr="004374CE" w:rsidRDefault="00107504" w:rsidP="006E3881">
            <w:pPr>
              <w:jc w:val="both"/>
              <w:rPr>
                <w:b/>
                <w:bCs/>
                <w:i/>
                <w:iCs/>
                <w:u w:val="single"/>
              </w:rPr>
            </w:pPr>
            <w:r w:rsidRPr="004374CE">
              <w:rPr>
                <w:b/>
                <w:bCs/>
                <w:i/>
                <w:iCs/>
                <w:u w:val="single"/>
              </w:rPr>
              <w:t>Conversation Starter:</w:t>
            </w:r>
          </w:p>
          <w:p w14:paraId="378D9533" w14:textId="5B3B9774" w:rsidR="00107504" w:rsidRPr="006E3881" w:rsidRDefault="00107504" w:rsidP="006E3881">
            <w:pPr>
              <w:jc w:val="both"/>
            </w:pPr>
            <w:r>
              <w:t>“As a financial professional, do you have any disciplinary history? For what type of conduct?”</w:t>
            </w:r>
          </w:p>
        </w:tc>
      </w:tr>
      <w:tr w:rsidR="00E90B4E" w14:paraId="2F0CA4D3" w14:textId="77777777" w:rsidTr="00BC5CB4">
        <w:tc>
          <w:tcPr>
            <w:tcW w:w="10075" w:type="dxa"/>
            <w:shd w:val="clear" w:color="auto" w:fill="ACB9CA" w:themeFill="text2" w:themeFillTint="66"/>
          </w:tcPr>
          <w:p w14:paraId="2806FC60" w14:textId="1CE27AC9" w:rsidR="00E90B4E" w:rsidRPr="00107504" w:rsidRDefault="00696B5A" w:rsidP="009C6CCD">
            <w:pPr>
              <w:jc w:val="both"/>
              <w:rPr>
                <w:b/>
                <w:bCs/>
              </w:rPr>
            </w:pPr>
            <w:r>
              <w:rPr>
                <w:b/>
                <w:bCs/>
              </w:rPr>
              <w:t>Additional Information</w:t>
            </w:r>
          </w:p>
        </w:tc>
      </w:tr>
      <w:tr w:rsidR="00E90B4E" w14:paraId="2CA56408" w14:textId="77777777" w:rsidTr="002A151C">
        <w:trPr>
          <w:trHeight w:val="2330"/>
        </w:trPr>
        <w:tc>
          <w:tcPr>
            <w:tcW w:w="10075" w:type="dxa"/>
          </w:tcPr>
          <w:p w14:paraId="6E60799E" w14:textId="59B50857" w:rsidR="009F6C3E" w:rsidRDefault="00696B5A" w:rsidP="00D23038">
            <w:pPr>
              <w:spacing w:after="120"/>
              <w:jc w:val="both"/>
              <w:rPr>
                <w:b/>
                <w:bCs/>
                <w:i/>
                <w:iCs/>
              </w:rPr>
            </w:pPr>
            <w:r>
              <w:rPr>
                <w:b/>
                <w:bCs/>
                <w:i/>
                <w:iCs/>
              </w:rPr>
              <w:t>You can find additional information about our investment advisory services and request a copy of our relationship summary</w:t>
            </w:r>
            <w:r w:rsidR="009F6C3E">
              <w:rPr>
                <w:b/>
                <w:bCs/>
                <w:i/>
                <w:iCs/>
              </w:rPr>
              <w:t xml:space="preserve"> by contacting us at:</w:t>
            </w:r>
          </w:p>
          <w:p w14:paraId="1275487D" w14:textId="17BFEED8" w:rsidR="009F6C3E" w:rsidRDefault="009F6C3E" w:rsidP="00D23038">
            <w:pPr>
              <w:spacing w:after="120"/>
              <w:jc w:val="both"/>
            </w:pPr>
            <w:r>
              <w:t xml:space="preserve">Website: </w:t>
            </w:r>
            <w:hyperlink r:id="rId10" w:history="1">
              <w:r w:rsidR="00FC5FED" w:rsidRPr="00D23C83">
                <w:rPr>
                  <w:rStyle w:val="Hyperlink"/>
                </w:rPr>
                <w:t>https://bucketlistwealth.com/</w:t>
              </w:r>
            </w:hyperlink>
            <w:r w:rsidR="00BC5CB4">
              <w:t xml:space="preserve">                    Email: </w:t>
            </w:r>
            <w:hyperlink r:id="rId11" w:history="1">
              <w:r w:rsidR="00D76116" w:rsidRPr="00891C65">
                <w:rPr>
                  <w:rStyle w:val="Hyperlink"/>
                </w:rPr>
                <w:t>dan@bucketlistwealth.com</w:t>
              </w:r>
            </w:hyperlink>
          </w:p>
          <w:p w14:paraId="181D5CF3" w14:textId="77777777" w:rsidR="003D1663" w:rsidRDefault="009F6C3E" w:rsidP="00D23038">
            <w:pPr>
              <w:spacing w:after="120"/>
              <w:jc w:val="both"/>
            </w:pPr>
            <w:r>
              <w:t>Telephone: (</w:t>
            </w:r>
            <w:r w:rsidR="00565C21">
              <w:t>352) 307-8652</w:t>
            </w:r>
            <w:r w:rsidR="00BC5CB4">
              <w:t xml:space="preserve">                                           </w:t>
            </w:r>
          </w:p>
          <w:p w14:paraId="0147FA66" w14:textId="77EB4511" w:rsidR="009F6C3E" w:rsidRDefault="00BC5CB4" w:rsidP="00D23038">
            <w:pPr>
              <w:spacing w:after="120"/>
              <w:jc w:val="both"/>
            </w:pPr>
            <w:r>
              <w:t xml:space="preserve">Address: </w:t>
            </w:r>
            <w:r w:rsidR="00565C21">
              <w:t>8564 East County Road 466, Ste. 203</w:t>
            </w:r>
            <w:r w:rsidR="003D1663">
              <w:t>, The Villages, FL 3216</w:t>
            </w:r>
            <w:r w:rsidR="00D76116">
              <w:t>2</w:t>
            </w:r>
          </w:p>
          <w:p w14:paraId="2F6FE8F7" w14:textId="77777777" w:rsidR="00C6746F" w:rsidRPr="0082084B" w:rsidRDefault="00C6746F" w:rsidP="009C6CCD">
            <w:pPr>
              <w:jc w:val="both"/>
              <w:rPr>
                <w:b/>
                <w:bCs/>
                <w:i/>
                <w:iCs/>
                <w:u w:val="single"/>
              </w:rPr>
            </w:pPr>
            <w:r w:rsidRPr="0082084B">
              <w:rPr>
                <w:b/>
                <w:bCs/>
                <w:i/>
                <w:iCs/>
                <w:u w:val="single"/>
              </w:rPr>
              <w:t>Conversation Starter:</w:t>
            </w:r>
          </w:p>
          <w:p w14:paraId="5E4232D8" w14:textId="2FF507B5" w:rsidR="00C6746F" w:rsidRPr="00C6746F" w:rsidRDefault="00C6746F" w:rsidP="009C6CCD">
            <w:pPr>
              <w:jc w:val="both"/>
            </w:pPr>
            <w:r>
              <w:t>“Who is my primary contact person? Is he or she a representative of an investment adviser or a broker-dealer? Who can I talk to if I have concerns about how this person is treating me?”</w:t>
            </w:r>
          </w:p>
        </w:tc>
      </w:tr>
    </w:tbl>
    <w:p w14:paraId="25A50AE7" w14:textId="4C4EF272" w:rsidR="009C6CCD" w:rsidRDefault="009C6CCD" w:rsidP="00A56213">
      <w:pPr>
        <w:jc w:val="both"/>
      </w:pPr>
    </w:p>
    <w:sectPr w:rsidR="009C6CCD" w:rsidSect="00B923F7">
      <w:footerReference w:type="default" r:id="rId12"/>
      <w:head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05F98" w14:textId="77777777" w:rsidR="0063067B" w:rsidRDefault="0063067B" w:rsidP="009C6CCD">
      <w:pPr>
        <w:spacing w:after="0" w:line="240" w:lineRule="auto"/>
      </w:pPr>
      <w:r>
        <w:separator/>
      </w:r>
    </w:p>
  </w:endnote>
  <w:endnote w:type="continuationSeparator" w:id="0">
    <w:p w14:paraId="6A222FA6" w14:textId="77777777" w:rsidR="0063067B" w:rsidRDefault="0063067B" w:rsidP="009C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576D" w14:textId="6C77A7B8" w:rsidR="00FE4BAF" w:rsidRPr="00E86C94" w:rsidRDefault="00E86C94">
    <w:pPr>
      <w:pStyle w:val="Footer"/>
      <w:rPr>
        <w:i/>
        <w:iCs/>
      </w:rPr>
    </w:pPr>
    <w:r>
      <w:rPr>
        <w:i/>
        <w:iCs/>
      </w:rPr>
      <w:tab/>
    </w:r>
    <w:r>
      <w:rPr>
        <w:i/>
        <w:iCs/>
      </w:rPr>
      <w:tab/>
      <w:t xml:space="preserve">       </w:t>
    </w:r>
    <w:r w:rsidRPr="00E86C94">
      <w:rPr>
        <w:i/>
        <w:iCs/>
      </w:rPr>
      <w:t>Form CRS 4/3/2024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E939" w14:textId="77777777" w:rsidR="0063067B" w:rsidRDefault="0063067B" w:rsidP="009C6CCD">
      <w:pPr>
        <w:spacing w:after="0" w:line="240" w:lineRule="auto"/>
      </w:pPr>
      <w:r>
        <w:separator/>
      </w:r>
    </w:p>
  </w:footnote>
  <w:footnote w:type="continuationSeparator" w:id="0">
    <w:p w14:paraId="50B66ED1" w14:textId="77777777" w:rsidR="0063067B" w:rsidRDefault="0063067B" w:rsidP="009C6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074C" w14:textId="77777777" w:rsidR="005517A0" w:rsidRDefault="005517A0" w:rsidP="005517A0">
    <w:pPr>
      <w:spacing w:after="0" w:line="240" w:lineRule="auto"/>
      <w:jc w:val="center"/>
      <w:rPr>
        <w:b/>
        <w:bCs/>
        <w:u w:val="single"/>
      </w:rPr>
    </w:pPr>
    <w:r>
      <w:rPr>
        <w:b/>
        <w:bCs/>
        <w:u w:val="single"/>
      </w:rPr>
      <w:t>Bucket List Wealth Management, LLC</w:t>
    </w:r>
  </w:p>
  <w:p w14:paraId="772DB1CD" w14:textId="52A9D962" w:rsidR="005517A0" w:rsidRDefault="005517A0" w:rsidP="005517A0">
    <w:pPr>
      <w:pStyle w:val="Header"/>
      <w:jc w:val="center"/>
    </w:pPr>
    <w:r>
      <w:rPr>
        <w:b/>
        <w:bCs/>
        <w:u w:val="single"/>
      </w:rPr>
      <w:t>Client Relationship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5DEA"/>
    <w:multiLevelType w:val="hybridMultilevel"/>
    <w:tmpl w:val="63264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63D3"/>
    <w:multiLevelType w:val="hybridMultilevel"/>
    <w:tmpl w:val="81AA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F12F6"/>
    <w:multiLevelType w:val="hybridMultilevel"/>
    <w:tmpl w:val="5E86A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F46A5"/>
    <w:multiLevelType w:val="hybridMultilevel"/>
    <w:tmpl w:val="D7928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86CA8"/>
    <w:multiLevelType w:val="hybridMultilevel"/>
    <w:tmpl w:val="DA767774"/>
    <w:lvl w:ilvl="0" w:tplc="5CD60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D34CE"/>
    <w:multiLevelType w:val="hybridMultilevel"/>
    <w:tmpl w:val="D2A8F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26BEA"/>
    <w:multiLevelType w:val="hybridMultilevel"/>
    <w:tmpl w:val="7C0A0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43DE0"/>
    <w:multiLevelType w:val="hybridMultilevel"/>
    <w:tmpl w:val="40046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D4845"/>
    <w:multiLevelType w:val="hybridMultilevel"/>
    <w:tmpl w:val="D4684708"/>
    <w:lvl w:ilvl="0" w:tplc="52E80908">
      <w:start w:val="1"/>
      <w:numFmt w:val="decimal"/>
      <w:lvlText w:val="%1.)"/>
      <w:lvlJc w:val="left"/>
      <w:pPr>
        <w:ind w:left="720" w:hanging="360"/>
      </w:pPr>
      <w:rPr>
        <w:rFonts w:ascii="Times New Roman" w:hAnsi="Times New Roman"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313444">
    <w:abstractNumId w:val="1"/>
  </w:num>
  <w:num w:numId="2" w16cid:durableId="935945766">
    <w:abstractNumId w:val="5"/>
  </w:num>
  <w:num w:numId="3" w16cid:durableId="1717895379">
    <w:abstractNumId w:val="3"/>
  </w:num>
  <w:num w:numId="4" w16cid:durableId="1023942032">
    <w:abstractNumId w:val="0"/>
  </w:num>
  <w:num w:numId="5" w16cid:durableId="12804652">
    <w:abstractNumId w:val="6"/>
  </w:num>
  <w:num w:numId="6" w16cid:durableId="2004162544">
    <w:abstractNumId w:val="7"/>
  </w:num>
  <w:num w:numId="7" w16cid:durableId="856240241">
    <w:abstractNumId w:val="4"/>
  </w:num>
  <w:num w:numId="8" w16cid:durableId="431708960">
    <w:abstractNumId w:val="8"/>
  </w:num>
  <w:num w:numId="9" w16cid:durableId="1246182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CD"/>
    <w:rsid w:val="000115BD"/>
    <w:rsid w:val="00013AD7"/>
    <w:rsid w:val="00076A10"/>
    <w:rsid w:val="000F00A3"/>
    <w:rsid w:val="00107504"/>
    <w:rsid w:val="00190679"/>
    <w:rsid w:val="001D77AC"/>
    <w:rsid w:val="001E6B1D"/>
    <w:rsid w:val="001F0B14"/>
    <w:rsid w:val="00212D03"/>
    <w:rsid w:val="00212EF1"/>
    <w:rsid w:val="002143AB"/>
    <w:rsid w:val="00221659"/>
    <w:rsid w:val="002366C6"/>
    <w:rsid w:val="0025567B"/>
    <w:rsid w:val="0029118A"/>
    <w:rsid w:val="002A151C"/>
    <w:rsid w:val="002C3E65"/>
    <w:rsid w:val="002D0FBA"/>
    <w:rsid w:val="00302653"/>
    <w:rsid w:val="003239EB"/>
    <w:rsid w:val="00392A97"/>
    <w:rsid w:val="003A3C91"/>
    <w:rsid w:val="003A657F"/>
    <w:rsid w:val="003B5D6D"/>
    <w:rsid w:val="003D1663"/>
    <w:rsid w:val="0040740A"/>
    <w:rsid w:val="00412330"/>
    <w:rsid w:val="00431983"/>
    <w:rsid w:val="004374CE"/>
    <w:rsid w:val="004504A1"/>
    <w:rsid w:val="004A37DE"/>
    <w:rsid w:val="004B4F57"/>
    <w:rsid w:val="0050269B"/>
    <w:rsid w:val="00511724"/>
    <w:rsid w:val="00547AAE"/>
    <w:rsid w:val="005517A0"/>
    <w:rsid w:val="00552271"/>
    <w:rsid w:val="00565821"/>
    <w:rsid w:val="00565C21"/>
    <w:rsid w:val="0058248D"/>
    <w:rsid w:val="005B1D95"/>
    <w:rsid w:val="005E6648"/>
    <w:rsid w:val="006218CB"/>
    <w:rsid w:val="0063067B"/>
    <w:rsid w:val="00696B5A"/>
    <w:rsid w:val="006E3881"/>
    <w:rsid w:val="006F38DD"/>
    <w:rsid w:val="0072357F"/>
    <w:rsid w:val="007322F2"/>
    <w:rsid w:val="00745522"/>
    <w:rsid w:val="007837BD"/>
    <w:rsid w:val="007956AC"/>
    <w:rsid w:val="007B165C"/>
    <w:rsid w:val="007C5677"/>
    <w:rsid w:val="007E0492"/>
    <w:rsid w:val="007F2212"/>
    <w:rsid w:val="0082084B"/>
    <w:rsid w:val="00844FD2"/>
    <w:rsid w:val="008526E7"/>
    <w:rsid w:val="00882987"/>
    <w:rsid w:val="008A16E3"/>
    <w:rsid w:val="008A7485"/>
    <w:rsid w:val="008B7ECC"/>
    <w:rsid w:val="008C66DA"/>
    <w:rsid w:val="008C7EF0"/>
    <w:rsid w:val="008E02AF"/>
    <w:rsid w:val="008E79E8"/>
    <w:rsid w:val="00916FB4"/>
    <w:rsid w:val="00934CAD"/>
    <w:rsid w:val="00957B05"/>
    <w:rsid w:val="00971CF0"/>
    <w:rsid w:val="00971E3D"/>
    <w:rsid w:val="00995A49"/>
    <w:rsid w:val="00996D92"/>
    <w:rsid w:val="009A4279"/>
    <w:rsid w:val="009B505C"/>
    <w:rsid w:val="009C6CCD"/>
    <w:rsid w:val="009F6C3E"/>
    <w:rsid w:val="00A02B65"/>
    <w:rsid w:val="00A06884"/>
    <w:rsid w:val="00A206C0"/>
    <w:rsid w:val="00A56213"/>
    <w:rsid w:val="00A57287"/>
    <w:rsid w:val="00A656F5"/>
    <w:rsid w:val="00A7742E"/>
    <w:rsid w:val="00AC6EDD"/>
    <w:rsid w:val="00AF2182"/>
    <w:rsid w:val="00B15835"/>
    <w:rsid w:val="00B60C18"/>
    <w:rsid w:val="00B67E09"/>
    <w:rsid w:val="00B859E5"/>
    <w:rsid w:val="00B923F7"/>
    <w:rsid w:val="00BA3293"/>
    <w:rsid w:val="00BA6BB3"/>
    <w:rsid w:val="00BB378E"/>
    <w:rsid w:val="00BC5CB4"/>
    <w:rsid w:val="00BE7EED"/>
    <w:rsid w:val="00C25E27"/>
    <w:rsid w:val="00C445D5"/>
    <w:rsid w:val="00C6746F"/>
    <w:rsid w:val="00C813B6"/>
    <w:rsid w:val="00CB53EE"/>
    <w:rsid w:val="00CB7929"/>
    <w:rsid w:val="00CD4DF1"/>
    <w:rsid w:val="00CD547D"/>
    <w:rsid w:val="00D04C4E"/>
    <w:rsid w:val="00D23038"/>
    <w:rsid w:val="00D311FC"/>
    <w:rsid w:val="00D76116"/>
    <w:rsid w:val="00D7643F"/>
    <w:rsid w:val="00DB19EF"/>
    <w:rsid w:val="00DB570D"/>
    <w:rsid w:val="00DD0B6F"/>
    <w:rsid w:val="00E10746"/>
    <w:rsid w:val="00E169BB"/>
    <w:rsid w:val="00E37317"/>
    <w:rsid w:val="00E66238"/>
    <w:rsid w:val="00E86C94"/>
    <w:rsid w:val="00E90B4E"/>
    <w:rsid w:val="00E9288C"/>
    <w:rsid w:val="00EB3304"/>
    <w:rsid w:val="00EC526F"/>
    <w:rsid w:val="00EE6FFD"/>
    <w:rsid w:val="00EF63D2"/>
    <w:rsid w:val="00F0037E"/>
    <w:rsid w:val="00F03F6C"/>
    <w:rsid w:val="00F11239"/>
    <w:rsid w:val="00F37219"/>
    <w:rsid w:val="00F469B8"/>
    <w:rsid w:val="00F633A7"/>
    <w:rsid w:val="00F9517B"/>
    <w:rsid w:val="00FC5FED"/>
    <w:rsid w:val="00FD1C3E"/>
    <w:rsid w:val="00FE4BAF"/>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BA059"/>
  <w15:chartTrackingRefBased/>
  <w15:docId w15:val="{D8F87FC4-A198-40E9-AE33-C21D3116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CCD"/>
  </w:style>
  <w:style w:type="paragraph" w:styleId="Footer">
    <w:name w:val="footer"/>
    <w:basedOn w:val="Normal"/>
    <w:link w:val="FooterChar"/>
    <w:uiPriority w:val="99"/>
    <w:unhideWhenUsed/>
    <w:rsid w:val="009C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CCD"/>
  </w:style>
  <w:style w:type="paragraph" w:styleId="ListParagraph">
    <w:name w:val="List Paragraph"/>
    <w:basedOn w:val="Normal"/>
    <w:uiPriority w:val="34"/>
    <w:qFormat/>
    <w:rsid w:val="009C6CCD"/>
    <w:pPr>
      <w:ind w:left="720"/>
      <w:contextualSpacing/>
    </w:pPr>
  </w:style>
  <w:style w:type="table" w:styleId="TableGrid">
    <w:name w:val="Table Grid"/>
    <w:basedOn w:val="TableNormal"/>
    <w:uiPriority w:val="39"/>
    <w:rsid w:val="009C6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C3E"/>
    <w:rPr>
      <w:color w:val="0000FF"/>
      <w:u w:val="single"/>
    </w:rPr>
  </w:style>
  <w:style w:type="character" w:styleId="UnresolvedMention">
    <w:name w:val="Unresolved Mention"/>
    <w:basedOn w:val="DefaultParagraphFont"/>
    <w:uiPriority w:val="99"/>
    <w:semiHidden/>
    <w:unhideWhenUsed/>
    <w:rsid w:val="009F6C3E"/>
    <w:rPr>
      <w:color w:val="605E5C"/>
      <w:shd w:val="clear" w:color="auto" w:fill="E1DFDD"/>
    </w:rPr>
  </w:style>
  <w:style w:type="paragraph" w:styleId="Revision">
    <w:name w:val="Revision"/>
    <w:hidden/>
    <w:uiPriority w:val="99"/>
    <w:semiHidden/>
    <w:rsid w:val="00D76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bucketlistwealth.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ucketlistwealt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6d15a6-0c98-487e-925a-a60e7b41160c">
      <Terms xmlns="http://schemas.microsoft.com/office/infopath/2007/PartnerControls"/>
    </lcf76f155ced4ddcb4097134ff3c332f>
    <TaxCatchAll xmlns="45e51955-afe5-42ec-ab2f-ea8bffc269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A77016A84934790F9A0B74FBE0CD7" ma:contentTypeVersion="18" ma:contentTypeDescription="Create a new document." ma:contentTypeScope="" ma:versionID="dd53da713b5ef0e4701e2990ba9741d9">
  <xsd:schema xmlns:xsd="http://www.w3.org/2001/XMLSchema" xmlns:xs="http://www.w3.org/2001/XMLSchema" xmlns:p="http://schemas.microsoft.com/office/2006/metadata/properties" xmlns:ns2="916d15a6-0c98-487e-925a-a60e7b41160c" xmlns:ns3="45e51955-afe5-42ec-ab2f-ea8bffc2697c" targetNamespace="http://schemas.microsoft.com/office/2006/metadata/properties" ma:root="true" ma:fieldsID="0a1000d6646c7e5daba801830fab52f7" ns2:_="" ns3:_="">
    <xsd:import namespace="916d15a6-0c98-487e-925a-a60e7b41160c"/>
    <xsd:import namespace="45e51955-afe5-42ec-ab2f-ea8bffc269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d15a6-0c98-487e-925a-a60e7b411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309c22-e355-4720-92cb-ccbcb45221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51955-afe5-42ec-ab2f-ea8bffc269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e4c0ce-b0c5-4131-b4b5-c64f3075951a}" ma:internalName="TaxCatchAll" ma:showField="CatchAllData" ma:web="45e51955-afe5-42ec-ab2f-ea8bffc26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030B4-FFC4-4A1A-AA99-68886E6CC8F0}">
  <ds:schemaRefs>
    <ds:schemaRef ds:uri="http://schemas.microsoft.com/office/2006/metadata/properties"/>
    <ds:schemaRef ds:uri="http://schemas.microsoft.com/office/infopath/2007/PartnerControls"/>
    <ds:schemaRef ds:uri="916d15a6-0c98-487e-925a-a60e7b41160c"/>
    <ds:schemaRef ds:uri="45e51955-afe5-42ec-ab2f-ea8bffc2697c"/>
  </ds:schemaRefs>
</ds:datastoreItem>
</file>

<file path=customXml/itemProps2.xml><?xml version="1.0" encoding="utf-8"?>
<ds:datastoreItem xmlns:ds="http://schemas.openxmlformats.org/officeDocument/2006/customXml" ds:itemID="{C215943E-6F4E-40B9-AE54-F55488645544}">
  <ds:schemaRefs>
    <ds:schemaRef ds:uri="http://schemas.microsoft.com/sharepoint/v3/contenttype/forms"/>
  </ds:schemaRefs>
</ds:datastoreItem>
</file>

<file path=customXml/itemProps3.xml><?xml version="1.0" encoding="utf-8"?>
<ds:datastoreItem xmlns:ds="http://schemas.openxmlformats.org/officeDocument/2006/customXml" ds:itemID="{F3356429-BD01-42E5-A499-5772AEB5C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d15a6-0c98-487e-925a-a60e7b41160c"/>
    <ds:schemaRef ds:uri="45e51955-afe5-42ec-ab2f-ea8bffc26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Dunn</dc:creator>
  <cp:keywords/>
  <dc:description/>
  <cp:lastModifiedBy>Dan Quirk</cp:lastModifiedBy>
  <cp:revision>2</cp:revision>
  <dcterms:created xsi:type="dcterms:W3CDTF">2025-05-28T12:07:00Z</dcterms:created>
  <dcterms:modified xsi:type="dcterms:W3CDTF">2025-05-28T12:07:00Z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0x01010054FA77016A84934790F9A0B74FBE0CD7</vt:lpwstr>
  </property>
  <property fmtid="{D5CDD505-2E9C-101B-9397-08002B2CF9AE}" pid="3" name="Order">
    <vt:r8>12233200</vt:r8>
  </property>
  <property fmtid="{D5CDD505-2E9C-101B-9397-08002B2CF9AE}" pid="4" name="MediaServiceImageTags">
    <vt:lpwstr/>
  </property>
</Properties>
</file>